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21F" w:rsidRPr="00BB32B7" w:rsidRDefault="00E948D4">
      <w:pPr>
        <w:rPr>
          <w:rFonts w:ascii="Arial" w:hAnsi="Arial" w:cs="Arial"/>
          <w:b/>
          <w:sz w:val="21"/>
          <w:szCs w:val="21"/>
          <w:lang w:val="uk-UA"/>
        </w:rPr>
      </w:pPr>
      <w:proofErr w:type="spellStart"/>
      <w:r w:rsidRPr="00BB32B7">
        <w:rPr>
          <w:rFonts w:ascii="Arial" w:hAnsi="Arial" w:cs="Arial"/>
          <w:b/>
          <w:sz w:val="21"/>
          <w:szCs w:val="21"/>
          <w:lang w:val="uk-UA"/>
        </w:rPr>
        <w:t>Минимальная</w:t>
      </w:r>
      <w:proofErr w:type="spellEnd"/>
      <w:r w:rsidRPr="00BB32B7">
        <w:rPr>
          <w:rFonts w:ascii="Arial" w:hAnsi="Arial" w:cs="Arial"/>
          <w:b/>
          <w:sz w:val="21"/>
          <w:szCs w:val="21"/>
          <w:lang w:val="uk-UA"/>
        </w:rPr>
        <w:t xml:space="preserve"> з-та</w:t>
      </w:r>
    </w:p>
    <w:p w:rsidR="00E948D4" w:rsidRPr="00BB32B7" w:rsidRDefault="00E948D4" w:rsidP="00E948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2016 г.</w:t>
      </w:r>
    </w:p>
    <w:p w:rsidR="00E948D4" w:rsidRPr="00BB32B7" w:rsidRDefault="00E948D4" w:rsidP="00E948D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925"/>
        <w:gridCol w:w="2481"/>
        <w:gridCol w:w="3095"/>
      </w:tblGrid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Период действия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Месячный размер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Почасовое выражение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 января - 30 апреля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8,29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 мая - 30 ноября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1450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8,69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 декабря - 31 декабря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1550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9,29</w:t>
            </w:r>
          </w:p>
        </w:tc>
      </w:tr>
    </w:tbl>
    <w:p w:rsidR="00E948D4" w:rsidRPr="00BB32B7" w:rsidRDefault="00E948D4">
      <w:pPr>
        <w:rPr>
          <w:rFonts w:ascii="Arial" w:hAnsi="Arial" w:cs="Arial"/>
          <w:sz w:val="21"/>
          <w:szCs w:val="21"/>
          <w:lang w:val="uk-UA"/>
        </w:rPr>
      </w:pPr>
    </w:p>
    <w:p w:rsidR="00F93C68" w:rsidRPr="00BB32B7" w:rsidRDefault="00F93C68" w:rsidP="00E948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proofErr w:type="spellStart"/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ru-RU"/>
        </w:rPr>
        <w:t>Прожиточный</w:t>
      </w:r>
      <w:proofErr w:type="spellEnd"/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ru-RU"/>
        </w:rPr>
        <w:t xml:space="preserve"> </w:t>
      </w:r>
      <w:proofErr w:type="spellStart"/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val="uk-UA" w:eastAsia="ru-RU"/>
        </w:rPr>
        <w:t>минимум</w:t>
      </w:r>
      <w:proofErr w:type="spellEnd"/>
    </w:p>
    <w:p w:rsidR="00E948D4" w:rsidRPr="00BB32B7" w:rsidRDefault="00E948D4" w:rsidP="00E948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2016 г.</w:t>
      </w:r>
    </w:p>
    <w:p w:rsidR="00E948D4" w:rsidRPr="00BB32B7" w:rsidRDefault="00E948D4" w:rsidP="00E948D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31"/>
        <w:gridCol w:w="1594"/>
        <w:gridCol w:w="1417"/>
        <w:gridCol w:w="1759"/>
      </w:tblGrid>
      <w:tr w:rsidR="00E948D4" w:rsidRPr="00BB32B7" w:rsidTr="00E948D4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Размер прожиточного минимума</w:t>
            </w:r>
          </w:p>
        </w:tc>
        <w:tc>
          <w:tcPr>
            <w:tcW w:w="0" w:type="auto"/>
            <w:gridSpan w:val="3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Период действия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1 января - 30 апреля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 мая - 30 ноября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1 декабря - 31 декабря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Размер прожиточного минимума на одного человека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1330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1399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1496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детям до 6 лет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1167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1228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1313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детям от 6 до 18 лет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1455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1531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1637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22222"/>
                <w:sz w:val="21"/>
                <w:szCs w:val="21"/>
                <w:lang w:eastAsia="ru-RU"/>
              </w:rPr>
              <w:t>трудоспособным лицам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1378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32B30"/>
                <w:sz w:val="21"/>
                <w:szCs w:val="21"/>
                <w:lang w:eastAsia="ru-RU"/>
              </w:rPr>
              <w:t>1450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232B30"/>
                <w:sz w:val="21"/>
                <w:szCs w:val="21"/>
                <w:lang w:eastAsia="ru-RU"/>
              </w:rPr>
              <w:t>1550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лицам, утратившим трудоспособность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1074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1130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32B30"/>
                <w:sz w:val="21"/>
                <w:szCs w:val="21"/>
                <w:lang w:eastAsia="ru-RU"/>
              </w:rPr>
              <w:t>1208</w:t>
            </w:r>
          </w:p>
        </w:tc>
      </w:tr>
    </w:tbl>
    <w:p w:rsidR="00E948D4" w:rsidRPr="00BB32B7" w:rsidRDefault="00E948D4">
      <w:pPr>
        <w:rPr>
          <w:rFonts w:ascii="Arial" w:hAnsi="Arial" w:cs="Arial"/>
          <w:sz w:val="21"/>
          <w:szCs w:val="21"/>
          <w:lang w:val="uk-UA"/>
        </w:rPr>
      </w:pPr>
    </w:p>
    <w:p w:rsidR="00C87EB6" w:rsidRPr="00BB32B7" w:rsidRDefault="00C87EB6">
      <w:pPr>
        <w:rPr>
          <w:rFonts w:ascii="Arial" w:hAnsi="Arial" w:cs="Arial"/>
          <w:b/>
          <w:sz w:val="21"/>
          <w:szCs w:val="21"/>
          <w:lang w:val="uk-UA"/>
        </w:rPr>
      </w:pPr>
      <w:r w:rsidRPr="00BB32B7">
        <w:rPr>
          <w:rFonts w:ascii="Arial" w:hAnsi="Arial" w:cs="Arial"/>
          <w:b/>
          <w:sz w:val="21"/>
          <w:szCs w:val="21"/>
          <w:lang w:val="uk-UA"/>
        </w:rPr>
        <w:t xml:space="preserve">Ставка ЕСВ </w:t>
      </w:r>
    </w:p>
    <w:p w:rsidR="00C87EB6" w:rsidRPr="00BB32B7" w:rsidRDefault="00C87EB6">
      <w:pPr>
        <w:rPr>
          <w:rFonts w:ascii="Arial" w:hAnsi="Arial" w:cs="Arial"/>
          <w:b/>
          <w:sz w:val="21"/>
          <w:szCs w:val="21"/>
          <w:lang w:val="uk-UA"/>
        </w:rPr>
      </w:pPr>
      <w:r w:rsidRPr="00BB32B7">
        <w:rPr>
          <w:rFonts w:ascii="Arial" w:hAnsi="Arial" w:cs="Arial"/>
          <w:b/>
          <w:sz w:val="21"/>
          <w:szCs w:val="21"/>
          <w:lang w:val="uk-UA"/>
        </w:rPr>
        <w:t>2016</w:t>
      </w:r>
    </w:p>
    <w:tbl>
      <w:tblPr>
        <w:tblW w:w="3603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3264"/>
      </w:tblGrid>
      <w:tr w:rsidR="00C87EB6" w:rsidRPr="00BB32B7" w:rsidTr="00C87EB6">
        <w:trPr>
          <w:jc w:val="center"/>
        </w:trPr>
        <w:tc>
          <w:tcPr>
            <w:tcW w:w="2602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87EB6" w:rsidRPr="00BB32B7" w:rsidRDefault="00C87EB6" w:rsidP="00C87EB6">
            <w:pPr>
              <w:spacing w:after="0" w:line="240" w:lineRule="auto"/>
              <w:ind w:right="-54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База</w:t>
            </w:r>
          </w:p>
        </w:tc>
        <w:tc>
          <w:tcPr>
            <w:tcW w:w="2398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C87EB6" w:rsidRPr="00BB32B7" w:rsidRDefault="00C87EB6" w:rsidP="00C87EB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Ставка, %</w:t>
            </w:r>
          </w:p>
        </w:tc>
      </w:tr>
      <w:tr w:rsidR="00C87EB6" w:rsidRPr="00BB32B7" w:rsidTr="00C87EB6">
        <w:trPr>
          <w:jc w:val="center"/>
        </w:trPr>
        <w:tc>
          <w:tcPr>
            <w:tcW w:w="2602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7EB6" w:rsidRPr="00BB32B7" w:rsidRDefault="00C87EB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Зарплата, выплата по договору ЦПХ, помощь по беременности и родам (декретные), выплата по временной нетрудоспособности (больничные)</w:t>
            </w:r>
          </w:p>
        </w:tc>
        <w:tc>
          <w:tcPr>
            <w:tcW w:w="2398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7EB6" w:rsidRPr="00BB32B7" w:rsidRDefault="00C87EB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22</w:t>
            </w:r>
          </w:p>
        </w:tc>
      </w:tr>
      <w:tr w:rsidR="00C87EB6" w:rsidRPr="00BB32B7" w:rsidTr="00C87EB6">
        <w:trPr>
          <w:jc w:val="center"/>
        </w:trPr>
        <w:tc>
          <w:tcPr>
            <w:tcW w:w="2602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7EB6" w:rsidRPr="00BB32B7" w:rsidRDefault="00C87EB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Зарплата инвалидов</w:t>
            </w:r>
          </w:p>
        </w:tc>
        <w:tc>
          <w:tcPr>
            <w:tcW w:w="2398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C87EB6" w:rsidRPr="00BB32B7" w:rsidRDefault="00C87EB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8,41</w:t>
            </w:r>
          </w:p>
        </w:tc>
      </w:tr>
    </w:tbl>
    <w:p w:rsidR="00C87EB6" w:rsidRPr="00BB32B7" w:rsidRDefault="00C87EB6">
      <w:pPr>
        <w:rPr>
          <w:rFonts w:ascii="Arial" w:hAnsi="Arial" w:cs="Arial"/>
          <w:b/>
          <w:sz w:val="21"/>
          <w:szCs w:val="21"/>
          <w:lang w:val="uk-UA"/>
        </w:rPr>
      </w:pPr>
    </w:p>
    <w:p w:rsidR="00C87EB6" w:rsidRPr="00BB32B7" w:rsidRDefault="00C87EB6" w:rsidP="00C87EB6">
      <w:pPr>
        <w:rPr>
          <w:rFonts w:ascii="Arial" w:hAnsi="Arial" w:cs="Arial"/>
          <w:b/>
          <w:sz w:val="21"/>
          <w:szCs w:val="21"/>
          <w:lang w:val="uk-UA"/>
        </w:rPr>
      </w:pPr>
      <w:r w:rsidRPr="00BB32B7">
        <w:rPr>
          <w:rFonts w:ascii="Arial" w:hAnsi="Arial" w:cs="Arial"/>
          <w:b/>
          <w:sz w:val="21"/>
          <w:szCs w:val="21"/>
          <w:lang w:val="uk-UA"/>
        </w:rPr>
        <w:t xml:space="preserve">Ставка </w:t>
      </w:r>
      <w:r w:rsidRPr="00BB32B7">
        <w:rPr>
          <w:rFonts w:ascii="Arial" w:hAnsi="Arial" w:cs="Arial"/>
          <w:b/>
          <w:sz w:val="21"/>
          <w:szCs w:val="21"/>
          <w:lang w:val="uk-UA"/>
        </w:rPr>
        <w:t>ПДФО</w:t>
      </w:r>
    </w:p>
    <w:p w:rsidR="00C87EB6" w:rsidRPr="00BB32B7" w:rsidRDefault="00C87EB6" w:rsidP="00C87EB6">
      <w:pPr>
        <w:rPr>
          <w:rFonts w:ascii="Arial" w:hAnsi="Arial" w:cs="Arial"/>
          <w:b/>
          <w:sz w:val="21"/>
          <w:szCs w:val="21"/>
          <w:lang w:val="uk-UA"/>
        </w:rPr>
      </w:pPr>
      <w:r w:rsidRPr="00BB32B7">
        <w:rPr>
          <w:rFonts w:ascii="Arial" w:hAnsi="Arial" w:cs="Arial"/>
          <w:b/>
          <w:sz w:val="21"/>
          <w:szCs w:val="21"/>
          <w:lang w:val="uk-UA"/>
        </w:rPr>
        <w:t>2016</w:t>
      </w:r>
    </w:p>
    <w:tbl>
      <w:tblPr>
        <w:tblW w:w="3603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42"/>
        <w:gridCol w:w="3264"/>
      </w:tblGrid>
      <w:tr w:rsidR="00992DF6" w:rsidRPr="00BB32B7" w:rsidTr="000B3B2E">
        <w:trPr>
          <w:jc w:val="center"/>
        </w:trPr>
        <w:tc>
          <w:tcPr>
            <w:tcW w:w="2602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2DF6" w:rsidRPr="00BB32B7" w:rsidRDefault="00992DF6" w:rsidP="000B3B2E">
            <w:pPr>
              <w:spacing w:after="0" w:line="240" w:lineRule="auto"/>
              <w:ind w:right="-54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База</w:t>
            </w:r>
          </w:p>
        </w:tc>
        <w:tc>
          <w:tcPr>
            <w:tcW w:w="2398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92DF6" w:rsidRPr="00BB32B7" w:rsidRDefault="00992DF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Ставка, %</w:t>
            </w:r>
          </w:p>
        </w:tc>
      </w:tr>
      <w:tr w:rsidR="00992DF6" w:rsidRPr="00BB32B7" w:rsidTr="000B3B2E">
        <w:trPr>
          <w:jc w:val="center"/>
        </w:trPr>
        <w:tc>
          <w:tcPr>
            <w:tcW w:w="2602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2DF6" w:rsidRPr="00BB32B7" w:rsidRDefault="00992DF6" w:rsidP="00BB32B7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Зарплата, выплата по договору ЦПХ,  выплата по временной нетрудоспособности (больничные)</w:t>
            </w: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выиграши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и призы, превышение нецелевой материальной помощи над льготным размером</w:t>
            </w:r>
          </w:p>
        </w:tc>
        <w:tc>
          <w:tcPr>
            <w:tcW w:w="2398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2DF6" w:rsidRPr="00BB32B7" w:rsidRDefault="00992DF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18</w:t>
            </w:r>
          </w:p>
        </w:tc>
      </w:tr>
      <w:tr w:rsidR="00992DF6" w:rsidRPr="00BB32B7" w:rsidTr="000B3B2E">
        <w:trPr>
          <w:jc w:val="center"/>
        </w:trPr>
        <w:tc>
          <w:tcPr>
            <w:tcW w:w="2602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2DF6" w:rsidRPr="00BB32B7" w:rsidRDefault="00992DF6" w:rsidP="00992DF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Дивиденды, выплачиваемые плательщиком налога на прибыль</w:t>
            </w:r>
          </w:p>
        </w:tc>
        <w:tc>
          <w:tcPr>
            <w:tcW w:w="2398" w:type="pc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992DF6" w:rsidRPr="00BB32B7" w:rsidRDefault="00992DF6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5</w:t>
            </w:r>
          </w:p>
        </w:tc>
      </w:tr>
    </w:tbl>
    <w:p w:rsidR="00992DF6" w:rsidRPr="00BB32B7" w:rsidRDefault="00992DF6" w:rsidP="00C87EB6">
      <w:pPr>
        <w:rPr>
          <w:rFonts w:ascii="Arial" w:hAnsi="Arial" w:cs="Arial"/>
          <w:b/>
          <w:sz w:val="21"/>
          <w:szCs w:val="21"/>
          <w:lang w:val="uk-UA"/>
        </w:rPr>
      </w:pPr>
    </w:p>
    <w:p w:rsidR="00C87EB6" w:rsidRPr="00BB32B7" w:rsidRDefault="00BB32B7">
      <w:pPr>
        <w:rPr>
          <w:rFonts w:ascii="Arial" w:hAnsi="Arial" w:cs="Arial"/>
          <w:b/>
          <w:sz w:val="21"/>
          <w:szCs w:val="21"/>
          <w:lang w:val="uk-UA"/>
        </w:rPr>
      </w:pPr>
      <w:proofErr w:type="spellStart"/>
      <w:r w:rsidRPr="00BB32B7">
        <w:rPr>
          <w:rFonts w:ascii="Arial" w:hAnsi="Arial" w:cs="Arial"/>
          <w:b/>
          <w:sz w:val="21"/>
          <w:szCs w:val="21"/>
          <w:lang w:val="uk-UA"/>
        </w:rPr>
        <w:t>Размер</w:t>
      </w:r>
      <w:proofErr w:type="spellEnd"/>
      <w:r w:rsidRPr="00BB32B7">
        <w:rPr>
          <w:rFonts w:ascii="Arial" w:hAnsi="Arial" w:cs="Arial"/>
          <w:b/>
          <w:sz w:val="21"/>
          <w:szCs w:val="21"/>
          <w:lang w:val="uk-UA"/>
        </w:rPr>
        <w:t xml:space="preserve"> </w:t>
      </w:r>
      <w:proofErr w:type="spellStart"/>
      <w:r w:rsidRPr="00BB32B7">
        <w:rPr>
          <w:rFonts w:ascii="Arial" w:hAnsi="Arial" w:cs="Arial"/>
          <w:b/>
          <w:sz w:val="21"/>
          <w:szCs w:val="21"/>
          <w:lang w:val="uk-UA"/>
        </w:rPr>
        <w:t>необлагаемого</w:t>
      </w:r>
      <w:proofErr w:type="spellEnd"/>
      <w:r w:rsidRPr="00BB32B7">
        <w:rPr>
          <w:rFonts w:ascii="Arial" w:hAnsi="Arial" w:cs="Arial"/>
          <w:b/>
          <w:sz w:val="21"/>
          <w:szCs w:val="21"/>
          <w:lang w:val="uk-UA"/>
        </w:rPr>
        <w:t xml:space="preserve"> подарка</w:t>
      </w: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8"/>
        <w:gridCol w:w="5183"/>
      </w:tblGrid>
      <w:tr w:rsidR="00BB32B7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32B7" w:rsidRPr="00BB32B7" w:rsidRDefault="00BB32B7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B32B7" w:rsidRPr="00BB32B7" w:rsidRDefault="00350EAC" w:rsidP="00350EA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Размер</w:t>
            </w:r>
            <w:r w:rsidR="00BB32B7"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, грн.</w:t>
            </w:r>
          </w:p>
        </w:tc>
      </w:tr>
      <w:tr w:rsidR="00BB32B7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32B7" w:rsidRPr="00BB32B7" w:rsidRDefault="00BB32B7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2016 г.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32B7" w:rsidRPr="00BB32B7" w:rsidRDefault="00BB32B7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689</w:t>
            </w:r>
          </w:p>
        </w:tc>
      </w:tr>
      <w:tr w:rsidR="00BB32B7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32B7" w:rsidRPr="00BB32B7" w:rsidRDefault="00BB32B7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2015 г.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BB32B7" w:rsidRPr="00BB32B7" w:rsidRDefault="00BB32B7" w:rsidP="00362D6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609</w:t>
            </w:r>
            <w:bookmarkStart w:id="0" w:name="_GoBack"/>
            <w:bookmarkEnd w:id="0"/>
          </w:p>
        </w:tc>
      </w:tr>
    </w:tbl>
    <w:p w:rsidR="00C87EB6" w:rsidRPr="00BB32B7" w:rsidRDefault="00C87EB6">
      <w:pPr>
        <w:rPr>
          <w:rFonts w:ascii="Arial" w:hAnsi="Arial" w:cs="Arial"/>
          <w:b/>
          <w:sz w:val="21"/>
          <w:szCs w:val="21"/>
          <w:lang w:val="uk-UA"/>
        </w:rPr>
      </w:pPr>
    </w:p>
    <w:p w:rsidR="00E948D4" w:rsidRPr="00BB32B7" w:rsidRDefault="00992DF6">
      <w:pPr>
        <w:rPr>
          <w:rFonts w:ascii="Arial" w:hAnsi="Arial" w:cs="Arial"/>
          <w:b/>
          <w:sz w:val="21"/>
          <w:szCs w:val="21"/>
        </w:rPr>
      </w:pPr>
      <w:proofErr w:type="spellStart"/>
      <w:r w:rsidRPr="00BB32B7">
        <w:rPr>
          <w:rFonts w:ascii="Arial" w:hAnsi="Arial" w:cs="Arial"/>
          <w:b/>
          <w:sz w:val="21"/>
          <w:szCs w:val="21"/>
        </w:rPr>
        <w:t>Максимальний</w:t>
      </w:r>
      <w:proofErr w:type="spellEnd"/>
      <w:r w:rsidR="00E948D4" w:rsidRPr="00BB32B7">
        <w:rPr>
          <w:rFonts w:ascii="Arial" w:hAnsi="Arial" w:cs="Arial"/>
          <w:b/>
          <w:sz w:val="21"/>
          <w:szCs w:val="21"/>
        </w:rPr>
        <w:t xml:space="preserve"> размер з-ты для начисления  ЕСВ</w:t>
      </w:r>
    </w:p>
    <w:p w:rsidR="00E948D4" w:rsidRPr="00BB32B7" w:rsidRDefault="00E948D4" w:rsidP="00E948D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2016 г.</w:t>
      </w:r>
    </w:p>
    <w:p w:rsidR="00E948D4" w:rsidRPr="00BB32B7" w:rsidRDefault="00E948D4" w:rsidP="00E948D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66"/>
        <w:gridCol w:w="2235"/>
      </w:tblGrid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Период действия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Размер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 января – 30 апреля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34 450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 мая – 30 ноября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36 250</w:t>
            </w:r>
          </w:p>
        </w:tc>
      </w:tr>
      <w:tr w:rsidR="00E948D4" w:rsidRPr="00BB32B7" w:rsidTr="00E948D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1 декабря – 31 декабря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E948D4" w:rsidRPr="00BB32B7" w:rsidRDefault="00E948D4" w:rsidP="00E948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222222"/>
                <w:sz w:val="21"/>
                <w:szCs w:val="21"/>
                <w:lang w:eastAsia="ru-RU"/>
              </w:rPr>
              <w:t>38 750</w:t>
            </w:r>
          </w:p>
        </w:tc>
      </w:tr>
    </w:tbl>
    <w:p w:rsidR="00F93C68" w:rsidRPr="00BB32B7" w:rsidRDefault="00F93C68" w:rsidP="00F93C6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</w:p>
    <w:p w:rsidR="00F93C68" w:rsidRPr="00BB32B7" w:rsidRDefault="00F93C68" w:rsidP="00F93C6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Размер необлагаемой материальной помощи</w:t>
      </w:r>
    </w:p>
    <w:p w:rsidR="00F93C68" w:rsidRPr="00BB32B7" w:rsidRDefault="00F93C68" w:rsidP="00F93C6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67"/>
        <w:gridCol w:w="6134"/>
      </w:tblGrid>
      <w:tr w:rsidR="00F93C68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Период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Размер помощи, грн.</w:t>
            </w:r>
          </w:p>
        </w:tc>
      </w:tr>
      <w:tr w:rsidR="00F93C68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2016 г.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1930</w:t>
            </w:r>
          </w:p>
        </w:tc>
      </w:tr>
      <w:tr w:rsidR="00F93C68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2015 г.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1710</w:t>
            </w:r>
          </w:p>
        </w:tc>
      </w:tr>
    </w:tbl>
    <w:p w:rsidR="00F93C68" w:rsidRPr="00BB32B7" w:rsidRDefault="00F93C68" w:rsidP="00F93C68">
      <w:pPr>
        <w:rPr>
          <w:rFonts w:ascii="Arial" w:hAnsi="Arial" w:cs="Arial"/>
          <w:sz w:val="21"/>
          <w:szCs w:val="21"/>
        </w:rPr>
      </w:pPr>
    </w:p>
    <w:p w:rsidR="00F93C68" w:rsidRPr="00BB32B7" w:rsidRDefault="00F93C68" w:rsidP="00F93C68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Размер пособия на погребение</w:t>
      </w:r>
    </w:p>
    <w:p w:rsidR="00F93C68" w:rsidRPr="00BB32B7" w:rsidRDefault="00F93C68" w:rsidP="00F93C68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35"/>
        <w:gridCol w:w="4066"/>
      </w:tblGrid>
      <w:tr w:rsidR="00F93C68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Период действия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Размер помощи</w:t>
            </w:r>
          </w:p>
        </w:tc>
      </w:tr>
      <w:tr w:rsidR="00F93C68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2016 г.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3860</w:t>
            </w:r>
          </w:p>
        </w:tc>
      </w:tr>
      <w:tr w:rsidR="00F93C68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2015 г.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F93C68" w:rsidRPr="00BB32B7" w:rsidRDefault="00F93C68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3420</w:t>
            </w:r>
          </w:p>
        </w:tc>
      </w:tr>
    </w:tbl>
    <w:p w:rsidR="00F93C68" w:rsidRPr="00BB32B7" w:rsidRDefault="00F93C68" w:rsidP="00F93C68">
      <w:pPr>
        <w:rPr>
          <w:rFonts w:ascii="Arial" w:hAnsi="Arial" w:cs="Arial"/>
          <w:sz w:val="21"/>
          <w:szCs w:val="21"/>
        </w:rPr>
      </w:pPr>
    </w:p>
    <w:p w:rsidR="00E948D4" w:rsidRDefault="00350EAC">
      <w:pPr>
        <w:rPr>
          <w:rFonts w:ascii="Arial" w:hAnsi="Arial" w:cs="Arial"/>
          <w:b/>
          <w:sz w:val="21"/>
          <w:szCs w:val="21"/>
        </w:rPr>
      </w:pPr>
      <w:r w:rsidRPr="00414FB4">
        <w:rPr>
          <w:rFonts w:ascii="Arial" w:hAnsi="Arial" w:cs="Arial"/>
          <w:b/>
          <w:sz w:val="21"/>
          <w:szCs w:val="21"/>
        </w:rPr>
        <w:t>Размер суточных</w:t>
      </w:r>
      <w:r w:rsidR="00414FB4">
        <w:rPr>
          <w:rFonts w:ascii="Arial" w:hAnsi="Arial" w:cs="Arial"/>
          <w:b/>
          <w:sz w:val="21"/>
          <w:szCs w:val="21"/>
        </w:rPr>
        <w:t xml:space="preserve"> при командировках</w:t>
      </w:r>
    </w:p>
    <w:p w:rsidR="00414FB4" w:rsidRPr="00414FB4" w:rsidRDefault="00414FB4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2016</w:t>
      </w: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607"/>
        <w:gridCol w:w="3894"/>
      </w:tblGrid>
      <w:tr w:rsidR="00350EAC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0EAC" w:rsidRPr="00BB32B7" w:rsidRDefault="00414FB4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Вид командировки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350EAC" w:rsidRPr="00BB32B7" w:rsidRDefault="00350EAC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Размер помощи</w:t>
            </w:r>
          </w:p>
        </w:tc>
      </w:tr>
      <w:tr w:rsidR="00350EAC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EAC" w:rsidRPr="00BB32B7" w:rsidRDefault="00414FB4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 Украине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EAC" w:rsidRPr="00BB32B7" w:rsidRDefault="00414FB4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275,6</w:t>
            </w:r>
          </w:p>
        </w:tc>
      </w:tr>
      <w:tr w:rsidR="00350EAC" w:rsidRPr="00BB32B7" w:rsidTr="000B3B2E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EAC" w:rsidRPr="00BB32B7" w:rsidRDefault="00414FB4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 xml:space="preserve">За </w:t>
            </w:r>
            <w:proofErr w:type="spellStart"/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границу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</w:tcPr>
          <w:p w:rsidR="00350EAC" w:rsidRPr="00BB32B7" w:rsidRDefault="00414FB4" w:rsidP="000B3B2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</w:pPr>
            <w:r>
              <w:rPr>
                <w:rFonts w:ascii="Arial" w:eastAsia="Times New Roman" w:hAnsi="Arial" w:cs="Arial"/>
                <w:color w:val="333333"/>
                <w:sz w:val="21"/>
                <w:szCs w:val="21"/>
                <w:lang w:val="uk-UA" w:eastAsia="ru-RU"/>
              </w:rPr>
              <w:t>1033,50</w:t>
            </w:r>
          </w:p>
        </w:tc>
      </w:tr>
    </w:tbl>
    <w:p w:rsidR="00350EAC" w:rsidRPr="00BB32B7" w:rsidRDefault="00350EAC">
      <w:pPr>
        <w:rPr>
          <w:rFonts w:ascii="Arial" w:hAnsi="Arial" w:cs="Arial"/>
          <w:sz w:val="21"/>
          <w:szCs w:val="21"/>
        </w:rPr>
      </w:pPr>
    </w:p>
    <w:p w:rsidR="00B24410" w:rsidRDefault="00B24410" w:rsidP="00B2441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Социальная льгота</w:t>
      </w:r>
    </w:p>
    <w:p w:rsidR="008073C7" w:rsidRPr="00BB32B7" w:rsidRDefault="008073C7" w:rsidP="00B2441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2016</w:t>
      </w:r>
    </w:p>
    <w:p w:rsidR="00B24410" w:rsidRPr="00BB32B7" w:rsidRDefault="00B24410" w:rsidP="00B2441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3223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29"/>
        <w:gridCol w:w="2171"/>
        <w:gridCol w:w="2433"/>
        <w:gridCol w:w="1375"/>
        <w:gridCol w:w="850"/>
      </w:tblGrid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Норма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Податкового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кодексу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ПОКАЗНИК / КАТЕГОРІЯ ПЛАТНИКА ПОДАТКУ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2016 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ік</w:t>
            </w:r>
            <w:proofErr w:type="spellEnd"/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(%, грн.)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Прожитковий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мінімум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для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працездатної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особи на 1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січня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звітного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податкового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року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далі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- ПМ), грн.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169.4.1 п. 169.4 ст. 169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Граничний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розмі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 доходу,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дає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право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отримання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ПСП = 1,4 х ПМ, грн.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1930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 xml:space="preserve">Пункт 1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розділу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XIX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Розмі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ПСП (50 % ПМ)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689,00 (50 % ПМ)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Категорія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платників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Необхідні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для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отримання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податкової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соц</w:t>
            </w:r>
            <w:proofErr w:type="gram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іальної</w:t>
            </w:r>
            <w:proofErr w:type="spell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пільги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Розмі</w:t>
            </w:r>
            <w:proofErr w:type="gramStart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 ПСП,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Сума ПСП,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грн.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169.1.1 п. 169.1 ст. 169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Будь-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689,00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169.1.2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утримує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двох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більше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 18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рокі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-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розрахунку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кожну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таку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дитину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дубліката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народження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документ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зазначенням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відомостей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батька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Книзі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реєстрації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актів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цивільного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стану,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затверджені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відповідним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органом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іноземна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фізична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особа -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постійно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проживала (проживав) до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прибуття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ішення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і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встановлення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звертається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опікун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піклувальник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"а"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Одинока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маті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батько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), вдова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вдівець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опікун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піклувальник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мають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 18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-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розрахунку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кожну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 18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*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дубліката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народження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документ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зазначенням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відомостей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батька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Книзі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реєстрації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актів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цивільного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стану,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затверджені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відповідним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органом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іноземна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фізична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особа -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постійно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проживала (проживав) до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прибуття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ішення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і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встановлення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звертається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опікун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піклувальник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шлюб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смерть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звертається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вдова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вдівець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паспорта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"б"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утримує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у-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інваліда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-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розрахунку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кожну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таку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 18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років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дубліката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свідоцтва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народження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документ,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підтверджує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встановлення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батьківства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дітей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затверджені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відповідним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органом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іноземна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фізична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особа -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постійно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проживала (проживав) до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прибуття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ішення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і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встановлення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звертається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опікун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піклувальник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пенсійне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медико-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соціальної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експертизи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для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заявника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утримує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у-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інваліда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16 до 18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медичний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висновок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виданий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закладами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Мінохорони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здоров'я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установленому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порядку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звертається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платник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податку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утримує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у-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інваліда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 16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"в"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Особа,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віднесена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законом до 1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2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категорії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осіб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постраждали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внаслідок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Чорнобильської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катастрофи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включаючи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осіб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нагороджених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грамотами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Президії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Верховно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ади УРСР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зв'язку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участю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ліквідації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наслідків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Чорнобильської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катастрофи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дубліката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встановленого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зразка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: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громадянина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(яка)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постраждав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постраждала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внаслідок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Чорнобильської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катастрофи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категорії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сер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А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 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відбитком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штампа "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Перереєстровано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"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записом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дату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перереєстрації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також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вкладкою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встановленого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зразка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учасника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ліквідації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наслідків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аварії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Чорнобильській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АЕС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категорії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2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сер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А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 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відбитком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штампа "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Перереєстровано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"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записом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дату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перереєстрації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громадянина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евакуйованого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евакуйованої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у 1986 р.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із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зони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відчуження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категорії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2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сер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Б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громадянина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(яка)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постійно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проживав (проживала)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зоні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безумовного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обов'язкового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відселення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моменту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аварії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прийняття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ішення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Уряду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відселення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розпорядження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Ради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Міністрів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УРСР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28.06.89 р. N 224),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категорії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2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серії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Б.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Особи,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нагороджені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Грамотою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Президії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Верховно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ади УРСР за участь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ліквідації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наслідків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Чорнобильської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катастрофи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подають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Грамоти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"г"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Учень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студент,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аспірант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ординатор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,а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д'юнкт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навчального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закладу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наукової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установи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"ґ"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Інвалід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I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II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групи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у тому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числі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дитинства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,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інвалідів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пільгу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визначено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. "б"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пенсійного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медико-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соціальної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експертизи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"д"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Особа,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присуджено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довічну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стипендію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як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громадянину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зазнав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переслідувань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правозахисну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діяльність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включаючи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журналі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ів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акта Президента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призначення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зазначеної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стипендії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"е"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169.1.3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інших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країн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період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після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поширюється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Закону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"Про статус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ветеранів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гарантії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соціального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захисту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",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крім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осіб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визначених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. "б"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1033,50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учасника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виданого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відповідними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органами,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участь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діях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період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після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"а"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Герой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Герой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Радянського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Союзу, Герой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іалістичної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Праці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повний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кавалер ордена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Слави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ордена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Трудової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Слави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особа,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нагороджена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чотирма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і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більше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медалями "За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відвагу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1378,00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орденської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книжки Героя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Героя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Радянського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Союзу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Героя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іалістичної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Праці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орденських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книжок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кавалерів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орденів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Слави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Трудової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Слави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трьох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ступенів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інші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присвоєння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Героя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Героя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Радянського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Союзу, </w:t>
            </w: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 xml:space="preserve">Героя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Соціалістичної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Праці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нагородження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орденами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Слави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Трудової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Слави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трьох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ступені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 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чотирма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медалями "За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відвагу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"б"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Учасник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особа, яка у той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працювала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тилу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інвалід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I та II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групи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числа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учасників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інших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країн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період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після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поширюється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Закону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України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"Про статус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ветеранів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гарантії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соціального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захисту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"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1378,00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учасника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виданого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відповідними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органами,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участь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бойових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діях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пенсійне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медико-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соціальної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експертизи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ідтверджують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факт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роботи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в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тилу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"в"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в'язень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концтаборів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гетто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інших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місць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примусового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утриманняпід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особа,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визнана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репресованою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реабілітованою</w:t>
            </w:r>
            <w:proofErr w:type="spellEnd"/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1378,00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видана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компетентними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органами,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містять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необхідні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відомості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факт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визнання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особи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репресованою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реабілітованою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жертви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нацистських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переслідувань</w:t>
            </w:r>
            <w:proofErr w:type="spellEnd"/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"г"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Особа, яку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було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насильно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вивезено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колишнього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СРСР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держав,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перебували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стані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колишнім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СРСР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були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окуповані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фашистською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Німеччиною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союзниками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1378,00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копія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посвідчення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жертви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нацистських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переслідувань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довідка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видана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компетентними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органами,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чи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документи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містять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необхідні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відомості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факт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насильного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вивезення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колишнього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СРСР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час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Другої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світової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держав,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що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перебували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стані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війни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колишнім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СРСР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або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були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окуповані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фашистською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Німеччиною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та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її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союзниками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lastRenderedPageBreak/>
              <w:t>П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ідпункт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"ґ"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пп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. 169.1.4 п. 169.1 ст. 169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Особа, яка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перебувала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блокадній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колишнього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Ленінграда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(Санкт-Петербург,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Російська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Федерація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) </w:t>
            </w:r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</w:t>
            </w:r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іод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вересня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1941 р. по 27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січня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1944 р.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Заява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;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200</w:t>
            </w:r>
          </w:p>
        </w:tc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1378,00</w:t>
            </w:r>
          </w:p>
        </w:tc>
      </w:tr>
      <w:tr w:rsidR="00B24410" w:rsidRPr="00BB32B7" w:rsidTr="00B2441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документ,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який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містить</w:t>
            </w:r>
            <w:proofErr w:type="spellEnd"/>
            <w:proofErr w:type="gram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 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необхідні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відомості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про факт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перебування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на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блокадній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території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колишнього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Ленінграда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(Санкт-Петербург,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Російська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Федерація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) у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період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з 8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вересня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1941 р. по 27 </w:t>
            </w:r>
            <w:proofErr w:type="spellStart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січня</w:t>
            </w:r>
            <w:proofErr w:type="spellEnd"/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 xml:space="preserve"> 1944 р.</w:t>
            </w: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24410" w:rsidRPr="00BB32B7" w:rsidRDefault="00B24410" w:rsidP="00B24410">
            <w:pPr>
              <w:spacing w:after="0" w:line="240" w:lineRule="auto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B24410" w:rsidRPr="00BB32B7" w:rsidRDefault="00B24410">
      <w:pPr>
        <w:rPr>
          <w:rFonts w:ascii="Arial" w:hAnsi="Arial" w:cs="Arial"/>
          <w:sz w:val="21"/>
          <w:szCs w:val="21"/>
        </w:rPr>
      </w:pPr>
    </w:p>
    <w:p w:rsidR="00BF2400" w:rsidRPr="00BB32B7" w:rsidRDefault="00BF2400" w:rsidP="00BF2400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Индексы для проведения ин</w:t>
      </w:r>
      <w:r w:rsidR="00911954"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дексации заработной платы в 2015</w:t>
      </w: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г. - 2016 г.</w:t>
      </w:r>
    </w:p>
    <w:p w:rsidR="00BF2400" w:rsidRPr="00BB32B7" w:rsidRDefault="00BF2400" w:rsidP="00BF240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0"/>
        <w:gridCol w:w="2684"/>
        <w:gridCol w:w="3147"/>
      </w:tblGrid>
      <w:tr w:rsidR="00BF2400" w:rsidRPr="00BB32B7" w:rsidTr="00BF2400">
        <w:trPr>
          <w:jc w:val="center"/>
        </w:trPr>
        <w:tc>
          <w:tcPr>
            <w:tcW w:w="0" w:type="auto"/>
            <w:vMerge w:val="restart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Базовый месяц</w:t>
            </w:r>
          </w:p>
        </w:tc>
        <w:tc>
          <w:tcPr>
            <w:tcW w:w="0" w:type="auto"/>
            <w:gridSpan w:val="2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Коэффициент индексации в 2016 г.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vMerge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Февраль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gridSpan w:val="3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2015 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ік</w:t>
            </w:r>
            <w:proofErr w:type="spellEnd"/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38,0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февраль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31,0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март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18,3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18,3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апрель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3,7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3,7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май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1,5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июнь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1,1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1,1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июль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1,5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1,5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август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2,3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2,3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сентябрь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1,4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октябрь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2,0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ноябрь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bottom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декабрь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gridSpan w:val="3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 xml:space="preserve">2016 </w:t>
            </w:r>
            <w:proofErr w:type="spellStart"/>
            <w:proofErr w:type="gramStart"/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р</w:t>
            </w:r>
            <w:proofErr w:type="gramEnd"/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ік</w:t>
            </w:r>
            <w:proofErr w:type="spellEnd"/>
          </w:p>
        </w:tc>
      </w:tr>
      <w:tr w:rsidR="00BF2400" w:rsidRPr="00BB32B7" w:rsidTr="00BF2400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b/>
                <w:bCs/>
                <w:color w:val="000000"/>
                <w:sz w:val="21"/>
                <w:szCs w:val="21"/>
                <w:lang w:eastAsia="ru-RU"/>
              </w:rPr>
              <w:t>январь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BF2400" w:rsidRPr="00BB32B7" w:rsidRDefault="00BF2400" w:rsidP="00BF240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000000"/>
                <w:sz w:val="21"/>
                <w:szCs w:val="21"/>
                <w:lang w:eastAsia="ru-RU"/>
              </w:rPr>
              <w:t>0,0</w:t>
            </w:r>
          </w:p>
        </w:tc>
      </w:tr>
    </w:tbl>
    <w:p w:rsidR="00BF2400" w:rsidRPr="00BB32B7" w:rsidRDefault="00BF2400" w:rsidP="00BF2400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color w:val="000000"/>
          <w:sz w:val="21"/>
          <w:szCs w:val="21"/>
          <w:lang w:eastAsia="ru-RU"/>
        </w:rPr>
        <w:br/>
      </w:r>
    </w:p>
    <w:p w:rsidR="00911954" w:rsidRDefault="00911954" w:rsidP="0091195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 w:rsidRPr="00BB32B7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 xml:space="preserve"> </w:t>
      </w:r>
      <w:r w:rsidRPr="00911954"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«Натуральный» коэффициент</w:t>
      </w:r>
    </w:p>
    <w:p w:rsidR="008073C7" w:rsidRPr="00911954" w:rsidRDefault="008073C7" w:rsidP="00911954">
      <w:pPr>
        <w:shd w:val="clear" w:color="auto" w:fill="FFFFFF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</w:pPr>
      <w:r>
        <w:rPr>
          <w:rFonts w:ascii="Arial" w:eastAsia="Times New Roman" w:hAnsi="Arial" w:cs="Arial"/>
          <w:b/>
          <w:bCs/>
          <w:color w:val="000000"/>
          <w:sz w:val="21"/>
          <w:szCs w:val="21"/>
          <w:lang w:eastAsia="ru-RU"/>
        </w:rPr>
        <w:t>2016</w:t>
      </w:r>
    </w:p>
    <w:p w:rsidR="00911954" w:rsidRPr="00911954" w:rsidRDefault="00911954" w:rsidP="00911954">
      <w:pPr>
        <w:spacing w:after="0" w:line="240" w:lineRule="auto"/>
        <w:rPr>
          <w:rFonts w:ascii="Arial" w:eastAsia="Times New Roman" w:hAnsi="Arial" w:cs="Arial"/>
          <w:sz w:val="21"/>
          <w:szCs w:val="21"/>
          <w:lang w:eastAsia="ru-RU"/>
        </w:rPr>
      </w:pPr>
    </w:p>
    <w:tbl>
      <w:tblPr>
        <w:tblW w:w="4500" w:type="pct"/>
        <w:jc w:val="center"/>
        <w:tblBorders>
          <w:top w:val="single" w:sz="6" w:space="0" w:color="C3C3C3"/>
          <w:left w:val="single" w:sz="6" w:space="0" w:color="C3C3C3"/>
          <w:bottom w:val="single" w:sz="6" w:space="0" w:color="C3C3C3"/>
          <w:right w:val="single" w:sz="6" w:space="0" w:color="C3C3C3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75"/>
        <w:gridCol w:w="5826"/>
      </w:tblGrid>
      <w:tr w:rsidR="00911954" w:rsidRPr="00911954" w:rsidTr="0091195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911954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Ставка НДФЛ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shd w:val="clear" w:color="auto" w:fill="E5EECC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</w:pPr>
            <w:r w:rsidRPr="00911954">
              <w:rPr>
                <w:rFonts w:ascii="Arial" w:eastAsia="Times New Roman" w:hAnsi="Arial" w:cs="Arial"/>
                <w:b/>
                <w:bCs/>
                <w:color w:val="333333"/>
                <w:sz w:val="21"/>
                <w:szCs w:val="21"/>
                <w:lang w:eastAsia="ru-RU"/>
              </w:rPr>
              <w:t>«Натуральный» коэффициент</w:t>
            </w:r>
          </w:p>
        </w:tc>
      </w:tr>
      <w:tr w:rsidR="00911954" w:rsidRPr="00911954" w:rsidTr="0091195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91195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15%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91195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1,176471</w:t>
            </w:r>
          </w:p>
        </w:tc>
      </w:tr>
      <w:tr w:rsidR="00911954" w:rsidRPr="00911954" w:rsidTr="0091195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91195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20%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91195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1,25</w:t>
            </w:r>
          </w:p>
        </w:tc>
      </w:tr>
      <w:tr w:rsidR="00911954" w:rsidRPr="00911954" w:rsidTr="00911954">
        <w:trPr>
          <w:jc w:val="center"/>
        </w:trPr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911954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18</w:t>
            </w:r>
            <w:r w:rsidRPr="00911954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%</w:t>
            </w:r>
          </w:p>
        </w:tc>
        <w:tc>
          <w:tcPr>
            <w:tcW w:w="0" w:type="auto"/>
            <w:tcBorders>
              <w:top w:val="single" w:sz="6" w:space="0" w:color="C3C3C3"/>
              <w:left w:val="single" w:sz="6" w:space="0" w:color="C3C3C3"/>
              <w:bottom w:val="single" w:sz="6" w:space="0" w:color="C3C3C3"/>
              <w:right w:val="single" w:sz="6" w:space="0" w:color="C3C3C3"/>
            </w:tcBorders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911954" w:rsidRPr="00911954" w:rsidRDefault="00346C2D" w:rsidP="0091195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</w:pPr>
            <w:r w:rsidRPr="00BB32B7">
              <w:rPr>
                <w:rFonts w:ascii="Arial" w:eastAsia="Times New Roman" w:hAnsi="Arial" w:cs="Arial"/>
                <w:color w:val="333333"/>
                <w:sz w:val="21"/>
                <w:szCs w:val="21"/>
                <w:lang w:eastAsia="ru-RU"/>
              </w:rPr>
              <w:t>1,21951</w:t>
            </w:r>
          </w:p>
        </w:tc>
      </w:tr>
    </w:tbl>
    <w:p w:rsidR="00BF2400" w:rsidRPr="00BF2400" w:rsidRDefault="00BF2400" w:rsidP="00BF240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BF2400" w:rsidRPr="00BF24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48D4"/>
    <w:rsid w:val="00346C2D"/>
    <w:rsid w:val="00350EAC"/>
    <w:rsid w:val="00362D6F"/>
    <w:rsid w:val="00414FB4"/>
    <w:rsid w:val="008073C7"/>
    <w:rsid w:val="00904881"/>
    <w:rsid w:val="00911954"/>
    <w:rsid w:val="00992DF6"/>
    <w:rsid w:val="009F221F"/>
    <w:rsid w:val="00B24410"/>
    <w:rsid w:val="00BB32B7"/>
    <w:rsid w:val="00BF2400"/>
    <w:rsid w:val="00C87EB6"/>
    <w:rsid w:val="00E948D4"/>
    <w:rsid w:val="00F9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106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204333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81791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9101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105200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283587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11448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1053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12912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7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376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169295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359420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19752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844796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207612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94139">
          <w:marLeft w:val="150"/>
          <w:marRight w:val="15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2" w:color="CCCCCC"/>
            <w:right w:val="none" w:sz="0" w:space="0" w:color="auto"/>
          </w:divBdr>
        </w:div>
      </w:divsChild>
    </w:div>
    <w:div w:id="21219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1540</Words>
  <Characters>8781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13</cp:revision>
  <dcterms:created xsi:type="dcterms:W3CDTF">2016-02-06T16:40:00Z</dcterms:created>
  <dcterms:modified xsi:type="dcterms:W3CDTF">2016-02-06T17:43:00Z</dcterms:modified>
</cp:coreProperties>
</file>