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133.1. Платниками податку - резидентами є:</w:t>
      </w:r>
    </w:p>
    <w:p w:rsidR="00DF7FA4" w:rsidRDefault="00DF7FA4" w:rsidP="00DF7FA4">
      <w:pPr>
        <w:pStyle w:val="a3"/>
        <w:shd w:val="clear" w:color="auto" w:fill="FFFFFF"/>
        <w:spacing w:before="0" w:beforeAutospacing="0" w:after="0" w:afterAutospacing="0" w:line="294" w:lineRule="atLeast"/>
        <w:jc w:val="both"/>
        <w:rPr>
          <w:rFonts w:ascii="Arial" w:hAnsi="Arial" w:cs="Arial"/>
          <w:color w:val="333333"/>
          <w:sz w:val="21"/>
          <w:szCs w:val="21"/>
        </w:rPr>
      </w:pPr>
      <w:r>
        <w:rPr>
          <w:rStyle w:val="rvts0"/>
          <w:rFonts w:ascii="Arial" w:hAnsi="Arial" w:cs="Arial"/>
          <w:color w:val="333333"/>
          <w:sz w:val="21"/>
          <w:szCs w:val="21"/>
        </w:rPr>
        <w:t>133.1.1. суб’єкти господарювання - юридичні особи, які провадять господарську діяльність як на території України, так і за її межами, крім юридичних осіб, визначених пунктами 133.4 та 133.5 цієї статті</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1) бюджетних установ;</w:t>
      </w:r>
    </w:p>
    <w:p w:rsidR="00DF7FA4" w:rsidRDefault="00DF7FA4" w:rsidP="00DF7FA4">
      <w:pPr>
        <w:pStyle w:val="a3"/>
        <w:shd w:val="clear" w:color="auto" w:fill="FFFFFF"/>
        <w:spacing w:before="0" w:beforeAutospacing="0" w:after="0" w:afterAutospacing="0" w:line="294" w:lineRule="atLeast"/>
        <w:jc w:val="both"/>
        <w:rPr>
          <w:rFonts w:ascii="Arial" w:hAnsi="Arial" w:cs="Arial"/>
          <w:color w:val="333333"/>
          <w:sz w:val="21"/>
          <w:szCs w:val="21"/>
        </w:rPr>
      </w:pPr>
      <w:r>
        <w:rPr>
          <w:rFonts w:ascii="Arial" w:hAnsi="Arial" w:cs="Arial"/>
          <w:color w:val="333333"/>
          <w:sz w:val="21"/>
          <w:szCs w:val="21"/>
        </w:rPr>
        <w:t>2) громадських об'єднань, політичних партій, релігійних, благодійних організацій,</w:t>
      </w:r>
      <w:r>
        <w:rPr>
          <w:rStyle w:val="rvts0"/>
          <w:rFonts w:ascii="Arial" w:hAnsi="Arial" w:cs="Arial"/>
          <w:color w:val="333333"/>
          <w:sz w:val="21"/>
          <w:szCs w:val="21"/>
        </w:rPr>
        <w:t>об’єднань співвласників багатоквартирного будинку, асоціацій власників жилих будинків, житлово-будівельних кооперативів</w:t>
      </w:r>
      <w:r>
        <w:rPr>
          <w:rStyle w:val="apple-converted-space"/>
          <w:rFonts w:ascii="Arial" w:hAnsi="Arial" w:cs="Arial"/>
          <w:color w:val="333333"/>
          <w:sz w:val="21"/>
          <w:szCs w:val="21"/>
        </w:rPr>
        <w:t> </w:t>
      </w:r>
      <w:r>
        <w:rPr>
          <w:rFonts w:ascii="Arial" w:hAnsi="Arial" w:cs="Arial"/>
          <w:color w:val="333333"/>
          <w:sz w:val="21"/>
          <w:szCs w:val="21"/>
        </w:rPr>
        <w:t>пенсійних фондів, метою яких не може бути одержання і розподіл прибутку серед засновників, членів органів управління, інших пов'язаних з ними осіб, а також серед працівників таких організацій;</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3) суб'єктів господарювання, які застосовують спрощену систему оподаткування, обліку та звітності, визначені главою 1 розділу XIV цього Кодексу.</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З метою оподаткування центральний орган виконавчої влади, що реалізує державну податкову політику, веде реєстр всіх установ та організацій, які зазначені у підпунктах 1 та 2 цього підпункту.</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Установи та організації, які зазначені у підпунктах 1 та 2 цього підпункту, не є платниками податку на прибуток лише після внесення таких установ та організацій до Реєстру неприбуткових організацій та установ контролюючими органами в порядку, встановленому центральним органом виконавчої влади, що забезпечує формування та реалізує державну податкову і митну політику.</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133.1.2. Національний банк України здійснює розрахунки з Державним бюджетом України відповідно до Закону України "Про Національний банк України".</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133.1.3. Управитель фонду операцій з нерухомістю, який здійснює діяльність відповідно до Закону України "Про фінансово-кредитні механізми і управління майном при будівництві житла та операціях з нерухомістю" щодо операцій і результатів діяльності із довірчого управління, що здійснюється таким управителем через фонд.</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133.2. Платниками податку - нерезидентами є:</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133.2.1. юридичні особи, які утворені в будь-якій організаційно-правовій формі та отримують доходи з джерелом походження з України, за винятком установ та організацій, що мають дипломатичні привілеї або імунітет згідно з міжнародними договорами України;</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133.2.2. постійні представництва нерезидентів, які отримують доходи із джерелом походження з України або виконують агентські (представницькі) та інші функції стосовно таких нерезидентів чи їх засновників.</w:t>
      </w:r>
    </w:p>
    <w:p w:rsidR="00DF7FA4" w:rsidRDefault="00DF7FA4" w:rsidP="00DF7FA4">
      <w:pPr>
        <w:pStyle w:val="a3"/>
        <w:shd w:val="clear" w:color="auto" w:fill="FFFFFF"/>
        <w:spacing w:before="0" w:beforeAutospacing="0" w:after="240" w:afterAutospacing="0" w:line="294" w:lineRule="atLeast"/>
        <w:jc w:val="both"/>
        <w:rPr>
          <w:rFonts w:ascii="Arial" w:hAnsi="Arial" w:cs="Arial"/>
          <w:color w:val="333333"/>
          <w:sz w:val="21"/>
          <w:szCs w:val="21"/>
        </w:rPr>
      </w:pPr>
      <w:r>
        <w:rPr>
          <w:rFonts w:ascii="Arial" w:hAnsi="Arial" w:cs="Arial"/>
          <w:color w:val="333333"/>
          <w:sz w:val="21"/>
          <w:szCs w:val="21"/>
        </w:rPr>
        <w:t>133.3. Постійне представництво до початку своєї господарської діяльності стає на облік в контролюючому органі за своїм місцезнаходженням у порядку, встановленому центральним органом виконавчої влади, що забезпечує формування та реалізує державну податкову і митну політику. Постійне представництво, яке розпочало свою господарську діяльність до реєстрації в контролюючому органі, вважається таким, що ухиляється від оподаткування, а одержані ним прибутки вважаються прихованими від оподаткування.</w:t>
      </w:r>
    </w:p>
    <w:p w:rsidR="00DF7FA4" w:rsidRDefault="00DF7FA4" w:rsidP="00DF7FA4">
      <w:pPr>
        <w:pStyle w:val="a3"/>
        <w:shd w:val="clear" w:color="auto" w:fill="FFFFFF"/>
        <w:spacing w:before="0" w:beforeAutospacing="0" w:after="0" w:afterAutospacing="0" w:line="294" w:lineRule="atLeast"/>
        <w:jc w:val="both"/>
        <w:rPr>
          <w:rFonts w:ascii="Arial" w:hAnsi="Arial" w:cs="Arial"/>
          <w:color w:val="333333"/>
          <w:sz w:val="21"/>
          <w:szCs w:val="21"/>
        </w:rPr>
      </w:pPr>
      <w:r>
        <w:rPr>
          <w:rStyle w:val="rvts0"/>
          <w:rFonts w:ascii="Arial" w:hAnsi="Arial" w:cs="Arial"/>
          <w:color w:val="333333"/>
          <w:sz w:val="21"/>
          <w:szCs w:val="21"/>
        </w:rPr>
        <w:t>Нерезиденти, що діють відповідно до положень</w:t>
      </w:r>
      <w:r>
        <w:rPr>
          <w:rStyle w:val="apple-converted-space"/>
          <w:rFonts w:ascii="Arial" w:hAnsi="Arial" w:cs="Arial"/>
          <w:color w:val="333333"/>
          <w:sz w:val="21"/>
          <w:szCs w:val="21"/>
        </w:rPr>
        <w:t> </w:t>
      </w:r>
      <w:r>
        <w:rPr>
          <w:rStyle w:val="rvts96"/>
          <w:rFonts w:ascii="Arial" w:hAnsi="Arial" w:cs="Arial"/>
          <w:color w:val="333333"/>
          <w:sz w:val="21"/>
          <w:szCs w:val="21"/>
        </w:rPr>
        <w:t>Рамкової угоди між Україною та Європейським банком реконструкції та розвитку стосовно діяльності Чорнобильського фонду "Укриття" в Україні</w:t>
      </w:r>
      <w:r>
        <w:rPr>
          <w:rStyle w:val="apple-converted-space"/>
          <w:rFonts w:ascii="Arial" w:hAnsi="Arial" w:cs="Arial"/>
          <w:color w:val="333333"/>
          <w:sz w:val="21"/>
          <w:szCs w:val="21"/>
        </w:rPr>
        <w:t> </w:t>
      </w:r>
      <w:r>
        <w:rPr>
          <w:rStyle w:val="rvts0"/>
          <w:rFonts w:ascii="Arial" w:hAnsi="Arial" w:cs="Arial"/>
          <w:color w:val="333333"/>
          <w:sz w:val="21"/>
          <w:szCs w:val="21"/>
        </w:rPr>
        <w:t>та</w:t>
      </w:r>
      <w:r>
        <w:rPr>
          <w:rStyle w:val="apple-converted-space"/>
          <w:rFonts w:ascii="Arial" w:hAnsi="Arial" w:cs="Arial"/>
          <w:color w:val="333333"/>
          <w:sz w:val="21"/>
          <w:szCs w:val="21"/>
        </w:rPr>
        <w:t> </w:t>
      </w:r>
      <w:r>
        <w:rPr>
          <w:rStyle w:val="rvts96"/>
          <w:rFonts w:ascii="Arial" w:hAnsi="Arial" w:cs="Arial"/>
          <w:color w:val="333333"/>
          <w:sz w:val="21"/>
          <w:szCs w:val="21"/>
        </w:rPr>
        <w:t xml:space="preserve">Угоди про грант (Проект ядерної безпеки Чорнобильської АЕС) між Європейським банком реконструкції та розвитку як Розпорядником коштів, наданих згідно з  Грантом з Рахунка </w:t>
      </w:r>
      <w:r>
        <w:rPr>
          <w:rStyle w:val="rvts96"/>
          <w:rFonts w:ascii="Arial" w:hAnsi="Arial" w:cs="Arial"/>
          <w:color w:val="333333"/>
          <w:sz w:val="21"/>
          <w:szCs w:val="21"/>
        </w:rPr>
        <w:lastRenderedPageBreak/>
        <w:t>ядерної безпеки, Урядом України та Чорнобильською атомною електростанцією</w:t>
      </w:r>
      <w:r>
        <w:rPr>
          <w:rStyle w:val="rvts0"/>
          <w:rFonts w:ascii="Arial" w:hAnsi="Arial" w:cs="Arial"/>
          <w:color w:val="333333"/>
          <w:sz w:val="21"/>
          <w:szCs w:val="21"/>
        </w:rPr>
        <w:t>, можуть провадити свою господарську діяльність без реєстрації у контролюючому орган</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133.4. Не є платниками податку неприбуткові підприємства, установи та організації у порядку та на умовах, встановлених цим пунктом.</w:t>
      </w:r>
    </w:p>
    <w:p w:rsidR="00DF7FA4" w:rsidRDefault="00DF7FA4" w:rsidP="00DF7FA4">
      <w:pPr>
        <w:pStyle w:val="rvps2"/>
        <w:shd w:val="clear" w:color="auto" w:fill="FFFFFF"/>
        <w:spacing w:before="0" w:beforeAutospacing="0" w:after="0" w:afterAutospacing="0" w:line="294" w:lineRule="atLeast"/>
        <w:rPr>
          <w:rFonts w:ascii="Arial" w:hAnsi="Arial" w:cs="Arial"/>
          <w:color w:val="333333"/>
          <w:sz w:val="21"/>
          <w:szCs w:val="21"/>
        </w:rPr>
      </w:pPr>
      <w:bookmarkStart w:id="0" w:name="n27"/>
      <w:bookmarkEnd w:id="0"/>
      <w:r>
        <w:rPr>
          <w:rFonts w:ascii="Arial" w:hAnsi="Arial" w:cs="Arial"/>
          <w:color w:val="333333"/>
          <w:sz w:val="21"/>
          <w:szCs w:val="21"/>
        </w:rPr>
        <w:t>133.4.1. Неприбутковим підприємством,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 утворена та зареєстрована в порядку, визначеному законом, що регулює діяльність відповідної неприбуткової організації;</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 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 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(у результаті її ліквідації, злиття, поділу, приєднання або перетворення);</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 внесена контролюючим органом до Реєстру неприбуткових установ та організацій.</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133.4.2. 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DF7FA4" w:rsidRDefault="00DF7FA4" w:rsidP="00DF7FA4">
      <w:pPr>
        <w:pStyle w:val="rvps2"/>
        <w:shd w:val="clear" w:color="auto" w:fill="FFFFFF"/>
        <w:spacing w:before="0" w:beforeAutospacing="0" w:after="0" w:afterAutospacing="0" w:line="294" w:lineRule="atLeast"/>
        <w:rPr>
          <w:rFonts w:ascii="Arial" w:hAnsi="Arial" w:cs="Arial"/>
          <w:color w:val="333333"/>
          <w:sz w:val="21"/>
          <w:szCs w:val="21"/>
        </w:rPr>
      </w:pPr>
      <w:r>
        <w:rPr>
          <w:rFonts w:ascii="Arial" w:hAnsi="Arial" w:cs="Arial"/>
          <w:color w:val="333333"/>
          <w:sz w:val="21"/>
          <w:szCs w:val="21"/>
        </w:rPr>
        <w:t> 133.4.3. У разі недотримання неприбутковою організацією вимог, визначених цим пунктом, така неприбуткова організація зобов’язана подати у термін, визначений для місячного податкового (звітного) періоду,</w:t>
      </w:r>
      <w:r>
        <w:rPr>
          <w:rStyle w:val="apple-converted-space"/>
          <w:rFonts w:ascii="Arial" w:hAnsi="Arial" w:cs="Arial"/>
          <w:color w:val="333333"/>
          <w:sz w:val="21"/>
          <w:szCs w:val="21"/>
        </w:rPr>
        <w:t> </w:t>
      </w:r>
      <w:r>
        <w:rPr>
          <w:rStyle w:val="rvts96"/>
          <w:rFonts w:ascii="Arial" w:hAnsi="Arial" w:cs="Arial"/>
          <w:color w:val="333333"/>
          <w:sz w:val="21"/>
          <w:szCs w:val="21"/>
        </w:rPr>
        <w:t>звіт про використання доходів (прибутків) неприбуткової організації</w:t>
      </w:r>
      <w:r>
        <w:rPr>
          <w:rStyle w:val="apple-converted-space"/>
          <w:rFonts w:ascii="Arial" w:hAnsi="Arial" w:cs="Arial"/>
          <w:color w:val="333333"/>
          <w:sz w:val="21"/>
          <w:szCs w:val="21"/>
        </w:rPr>
        <w:t> </w:t>
      </w:r>
      <w:r>
        <w:rPr>
          <w:rFonts w:ascii="Arial" w:hAnsi="Arial" w:cs="Arial"/>
          <w:color w:val="333333"/>
          <w:sz w:val="21"/>
          <w:szCs w:val="21"/>
        </w:rPr>
        <w:t>за період з початку року по останній день місяця, в якому вчинено таке порушення, та зазначити суму самостійно нарахованого податкового зобов’язання з податку на прибуток. Податкове зобов’язання розраховується, виходячи із суми операції нецільового використання коштів. Така неприбуткова організація виключається контролюючим органом з Реєстру неприбуткових установ та організацій.</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 З першого дня місяця, наступного за місяцем, у якому вчинено таке порушення, до 31 грудня податкового (звітного) року неприбуткова організація зобов’язана щоквартально подавати до контролюючого органу квартальну фінансову і податкову звітність (з наростаючим підсумком) з податку на прибуток та сплачувати податок у термін, визначений для квартального періоду.</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 З наступного податкового (звітного) року така неприбуткова організація подає фінансову і податкову звітність та сплачує податок на прибуток у порядку, встановленому статтею 57 цього Кодексу для неприбуткових організацій - платників податку на прибуток.</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 133.4.4. Встановлення контролюючим органом відповідно до норм цього Кодексу факту використання неприбутковою організацією доходів (прибутків) для цілей інших, ніж передбачені установчими документами, є підставою для виключення такої організації з Реєстру неприбуткових установ та організацій і нарахування податкового зобов’язання з податку на прибуток підприємств, штрафних санкцій і пені відповідно до норм цього Кодексу. Податкові зобов’язання, штрафні санкції і пеня нараховуються, починаючи з першого числа місяця, в якому вчинено таке порушення.</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 133.4.5. Порядок ведення Реєстру неприбуткових установ та організацій, включення неприбуткових підприємств, установ та організацій до Реєстру та виключення з Реєстру встановлює Кабінет Міністрів України.</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lastRenderedPageBreak/>
        <w:t> 133.4.6. До неприбуткових організацій, що відповідають вимогам цього пункту і не є платниками податку, зокрема, можуть бути віднесені:</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 бюджетні установи;</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громадські об’єднання, політичні партії, творчі спілки, релігійні організації, благодійні організації, пенсійні фонди;</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спілки, асоціації та інші об’єднання юридичних осіб;</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житлово-будівельні кооперативи (з першого числа місяця, наступного за місяцем, в якому відповідно до закону здійснено прийняття в експлуатацію закінченого будівництвом житлового будинку і такий житловий будинок споруджувався або придбавався житлово-будівельним (житловим) кооперативом), дачні (дачно-будівельні), садівничі та гаражні (гаражно-будівельні) кооперативи (товариства);</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об’єднання співвласників багатоквартирного будинку, асоціації власників жилих будинків;</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професійні спілки, їх об’єднання та організації профспілок, а також організації роботодавців та їх об’єднання;</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сільськогосподарські обслуговуючі кооперативи, кооперативні об’єднання сільськогосподарських обслуговуючих кооперативів;</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інші юридичні особи, діяльність яких відповідає вимогам цього пункту.</w:t>
      </w:r>
    </w:p>
    <w:p w:rsidR="00DF7FA4" w:rsidRDefault="00DF7FA4" w:rsidP="00DF7FA4">
      <w:pPr>
        <w:pStyle w:val="rvps2"/>
        <w:shd w:val="clear" w:color="auto" w:fill="FFFFFF"/>
        <w:spacing w:before="0" w:beforeAutospacing="0" w:after="240" w:afterAutospacing="0" w:line="294" w:lineRule="atLeast"/>
        <w:rPr>
          <w:rFonts w:ascii="Arial" w:hAnsi="Arial" w:cs="Arial"/>
          <w:color w:val="333333"/>
          <w:sz w:val="21"/>
          <w:szCs w:val="21"/>
        </w:rPr>
      </w:pPr>
      <w:r>
        <w:rPr>
          <w:rFonts w:ascii="Arial" w:hAnsi="Arial" w:cs="Arial"/>
          <w:color w:val="333333"/>
          <w:sz w:val="21"/>
          <w:szCs w:val="21"/>
        </w:rPr>
        <w:t>133.5. Не є платниками податку суб’єкти господарювання, що застосовують спрощену систему оподаткування, обліку та звітності, визначені главою 1 розділу XIV цього Кодексу</w:t>
      </w:r>
    </w:p>
    <w:p w:rsidR="002A186A" w:rsidRDefault="00DF7FA4">
      <w:bookmarkStart w:id="1" w:name="_GoBack"/>
      <w:bookmarkEnd w:id="1"/>
    </w:p>
    <w:sectPr w:rsidR="002A18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FA4"/>
    <w:rsid w:val="005B54AB"/>
    <w:rsid w:val="009F78F9"/>
    <w:rsid w:val="00DF7F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7FA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0">
    <w:name w:val="rvts0"/>
    <w:basedOn w:val="a0"/>
    <w:rsid w:val="00DF7FA4"/>
  </w:style>
  <w:style w:type="character" w:customStyle="1" w:styleId="apple-converted-space">
    <w:name w:val="apple-converted-space"/>
    <w:basedOn w:val="a0"/>
    <w:rsid w:val="00DF7FA4"/>
  </w:style>
  <w:style w:type="character" w:customStyle="1" w:styleId="rvts96">
    <w:name w:val="rvts96"/>
    <w:basedOn w:val="a0"/>
    <w:rsid w:val="00DF7FA4"/>
  </w:style>
  <w:style w:type="paragraph" w:customStyle="1" w:styleId="rvps2">
    <w:name w:val="rvps2"/>
    <w:basedOn w:val="a"/>
    <w:rsid w:val="00DF7FA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7FA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0">
    <w:name w:val="rvts0"/>
    <w:basedOn w:val="a0"/>
    <w:rsid w:val="00DF7FA4"/>
  </w:style>
  <w:style w:type="character" w:customStyle="1" w:styleId="apple-converted-space">
    <w:name w:val="apple-converted-space"/>
    <w:basedOn w:val="a0"/>
    <w:rsid w:val="00DF7FA4"/>
  </w:style>
  <w:style w:type="character" w:customStyle="1" w:styleId="rvts96">
    <w:name w:val="rvts96"/>
    <w:basedOn w:val="a0"/>
    <w:rsid w:val="00DF7FA4"/>
  </w:style>
  <w:style w:type="paragraph" w:customStyle="1" w:styleId="rvps2">
    <w:name w:val="rvps2"/>
    <w:basedOn w:val="a"/>
    <w:rsid w:val="00DF7FA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174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5068</Words>
  <Characters>2889</Characters>
  <Application>Microsoft Office Word</Application>
  <DocSecurity>0</DocSecurity>
  <Lines>24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1</cp:revision>
  <dcterms:created xsi:type="dcterms:W3CDTF">2016-02-03T18:15:00Z</dcterms:created>
  <dcterms:modified xsi:type="dcterms:W3CDTF">2016-02-03T18:15:00Z</dcterms:modified>
</cp:coreProperties>
</file>